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8"/>
        <w:gridCol w:w="4231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5C0830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6B2D78" w:rsidRDefault="006B2D78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Gelir</w:t>
            </w:r>
            <w:r w:rsidR="00953AE6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&amp; Kurumlar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Vergisi </w:t>
            </w:r>
          </w:p>
          <w:p w:rsidR="00AD2065" w:rsidRDefault="006B2D78" w:rsidP="00953A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Faal Mükellef Sayıları</w:t>
            </w:r>
            <w:r w:rsidR="00953AE6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</w:tc>
        <w:tc>
          <w:tcPr>
            <w:tcW w:w="4678" w:type="dxa"/>
          </w:tcPr>
          <w:p w:rsidR="00AD2065" w:rsidRDefault="005C0830" w:rsidP="007B58E6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14 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5A76E3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Aralık</w:t>
      </w:r>
      <w:r w:rsidR="00ED7524" w:rsidRPr="006B2D78">
        <w:rPr>
          <w:rFonts w:ascii="Times New Roman" w:hAnsi="Times New Roman" w:cs="Times New Roman"/>
          <w:b/>
        </w:rPr>
        <w:t xml:space="preserve"> 2014</w:t>
      </w:r>
      <w:r w:rsidR="006B2D78" w:rsidRPr="006B2D78">
        <w:rPr>
          <w:rFonts w:ascii="Times New Roman" w:hAnsi="Times New Roman" w:cs="Times New Roman"/>
          <w:b/>
        </w:rPr>
        <w:t xml:space="preserve"> gelir vergisi faal mükellef sayıları</w:t>
      </w:r>
      <w:r w:rsidR="00ED7524" w:rsidRPr="006B2D78">
        <w:rPr>
          <w:rFonts w:ascii="Times New Roman" w:hAnsi="Times New Roman" w:cs="Times New Roman"/>
          <w:b/>
        </w:rPr>
        <w:t xml:space="preserve"> </w:t>
      </w:r>
      <w:r w:rsidR="006B2D78" w:rsidRPr="006B2D78">
        <w:rPr>
          <w:rFonts w:ascii="Times New Roman" w:hAnsi="Times New Roman" w:cs="Times New Roman"/>
          <w:b/>
        </w:rPr>
        <w:t>Gelir İ</w:t>
      </w:r>
      <w:r>
        <w:rPr>
          <w:rFonts w:ascii="Times New Roman" w:hAnsi="Times New Roman" w:cs="Times New Roman"/>
          <w:b/>
        </w:rPr>
        <w:t>daresi Başkanlığı tarafından 14 Ocak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ED7524" w:rsidRPr="00CD3A76" w:rsidRDefault="00E202D5" w:rsidP="00607D30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Aralık</w:t>
      </w:r>
      <w:r w:rsidR="00ED7524" w:rsidRPr="005D1CCA">
        <w:rPr>
          <w:rFonts w:ascii="Times New Roman" w:hAnsi="Times New Roman" w:cs="Times New Roman"/>
        </w:rPr>
        <w:t xml:space="preserve"> 2014’de Türkiye genelinde gelir </w:t>
      </w:r>
      <w:r w:rsidR="00ED7524">
        <w:rPr>
          <w:rFonts w:ascii="Times New Roman" w:hAnsi="Times New Roman" w:cs="Times New Roman"/>
        </w:rPr>
        <w:t xml:space="preserve">vergisi faal </w:t>
      </w:r>
      <w:r w:rsidR="008C0AA6">
        <w:rPr>
          <w:rFonts w:ascii="Times New Roman" w:hAnsi="Times New Roman" w:cs="Times New Roman"/>
        </w:rPr>
        <w:t>mükellefi sayısı</w:t>
      </w:r>
      <w:r w:rsidR="00CD3A76">
        <w:rPr>
          <w:rFonts w:ascii="Times New Roman" w:hAnsi="Times New Roman" w:cs="Times New Roman"/>
        </w:rPr>
        <w:t xml:space="preserve"> 1 milyon 798 bin 738</w:t>
      </w:r>
      <w:r w:rsidR="00ED7524" w:rsidRPr="005D1CCA">
        <w:rPr>
          <w:rFonts w:ascii="Times New Roman" w:hAnsi="Times New Roman" w:cs="Times New Roman"/>
        </w:rPr>
        <w:t xml:space="preserve"> kişiye ulaştı. </w:t>
      </w:r>
      <w:r w:rsidR="00ED7524">
        <w:rPr>
          <w:rFonts w:ascii="Times New Roman" w:hAnsi="Times New Roman" w:cs="Times New Roman"/>
        </w:rPr>
        <w:t>Yıl içerisinde çok fazla dalgalanan g</w:t>
      </w:r>
      <w:r w:rsidR="00ED7524" w:rsidRPr="005D1CCA">
        <w:rPr>
          <w:rFonts w:ascii="Times New Roman" w:hAnsi="Times New Roman" w:cs="Times New Roman"/>
        </w:rPr>
        <w:t>elir vergisi faal mükellef sayısında Türkiye genelinde bir önceki yı</w:t>
      </w:r>
      <w:r w:rsidR="00FB6256">
        <w:rPr>
          <w:rFonts w:ascii="Times New Roman" w:hAnsi="Times New Roman" w:cs="Times New Roman"/>
        </w:rPr>
        <w:t>lın aynı dönemine göre yüzde 0,04</w:t>
      </w:r>
      <w:r w:rsidR="00ED7524" w:rsidRPr="005D1CCA">
        <w:rPr>
          <w:rFonts w:ascii="Times New Roman" w:hAnsi="Times New Roman" w:cs="Times New Roman"/>
        </w:rPr>
        <w:t>’</w:t>
      </w:r>
      <w:r w:rsidR="00FB6256">
        <w:rPr>
          <w:rFonts w:ascii="Times New Roman" w:hAnsi="Times New Roman" w:cs="Times New Roman"/>
        </w:rPr>
        <w:t>lü</w:t>
      </w:r>
      <w:r w:rsidR="00AA2C2F">
        <w:rPr>
          <w:rFonts w:ascii="Times New Roman" w:hAnsi="Times New Roman" w:cs="Times New Roman"/>
        </w:rPr>
        <w:t>k bir artış yaşanırken</w:t>
      </w:r>
      <w:r w:rsidR="00ED7524">
        <w:rPr>
          <w:rFonts w:ascii="Times New Roman" w:hAnsi="Times New Roman" w:cs="Times New Roman"/>
        </w:rPr>
        <w:t xml:space="preserve"> </w:t>
      </w:r>
      <w:r w:rsidR="00AA2C2F">
        <w:rPr>
          <w:rFonts w:ascii="Times New Roman" w:hAnsi="Times New Roman" w:cs="Times New Roman"/>
        </w:rPr>
        <w:t>bir önceki ayın aynı dönemine göre ise yüzde 0,4’lük bir düşüş yaşandı.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Türkiye Geneli </w:t>
      </w:r>
      <w:r w:rsidRPr="00CB6DC5">
        <w:rPr>
          <w:rFonts w:ascii="Times New Roman" w:hAnsi="Times New Roman" w:cs="Times New Roman"/>
          <w:szCs w:val="18"/>
        </w:rPr>
        <w:t xml:space="preserve">Gelir </w:t>
      </w:r>
      <w:r>
        <w:rPr>
          <w:rFonts w:ascii="Times New Roman" w:hAnsi="Times New Roman" w:cs="Times New Roman"/>
          <w:szCs w:val="18"/>
        </w:rPr>
        <w:t xml:space="preserve">Vergisi Faal </w:t>
      </w:r>
      <w:r w:rsidRPr="00CB6DC5">
        <w:rPr>
          <w:rFonts w:ascii="Times New Roman" w:hAnsi="Times New Roman" w:cs="Times New Roman"/>
          <w:szCs w:val="18"/>
        </w:rPr>
        <w:t>Mükellef Sayısı</w:t>
      </w:r>
      <w:r>
        <w:rPr>
          <w:rFonts w:ascii="Times New Roman" w:hAnsi="Times New Roman" w:cs="Times New Roman"/>
          <w:szCs w:val="18"/>
        </w:rPr>
        <w:t xml:space="preserve"> </w:t>
      </w:r>
      <w:r w:rsidR="00C72C13">
        <w:rPr>
          <w:rFonts w:ascii="Times New Roman" w:hAnsi="Times New Roman" w:cs="Times New Roman"/>
          <w:szCs w:val="18"/>
        </w:rPr>
        <w:t xml:space="preserve"> (Aralık</w:t>
      </w:r>
      <w:r w:rsidRPr="00CB6DC5">
        <w:rPr>
          <w:rFonts w:ascii="Times New Roman" w:hAnsi="Times New Roman" w:cs="Times New Roman"/>
          <w:szCs w:val="18"/>
        </w:rPr>
        <w:t>; 2014 - 2013)</w:t>
      </w:r>
    </w:p>
    <w:p w:rsidR="00ED7524" w:rsidRDefault="006B7A2E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6B7A2E">
        <w:rPr>
          <w:rFonts w:ascii="Times New Roman" w:hAnsi="Times New Roman" w:cs="Times New Roman"/>
          <w:noProof/>
          <w:szCs w:val="18"/>
          <w:lang w:val="en-GB" w:eastAsia="en-GB"/>
        </w:rPr>
        <w:drawing>
          <wp:inline distT="0" distB="0" distL="0" distR="0">
            <wp:extent cx="6010275" cy="2743200"/>
            <wp:effectExtent l="1905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 b</w:t>
      </w:r>
      <w:r w:rsidR="00F76AFB">
        <w:rPr>
          <w:rFonts w:ascii="Times New Roman" w:hAnsi="Times New Roman" w:cs="Times New Roman"/>
          <w:sz w:val="24"/>
        </w:rPr>
        <w:t>a</w:t>
      </w:r>
      <w:r w:rsidR="00BA3D12">
        <w:rPr>
          <w:rFonts w:ascii="Times New Roman" w:hAnsi="Times New Roman" w:cs="Times New Roman"/>
          <w:sz w:val="24"/>
        </w:rPr>
        <w:t>zında değerlendirildiğinde Aralık</w:t>
      </w:r>
      <w:r>
        <w:rPr>
          <w:rFonts w:ascii="Times New Roman" w:hAnsi="Times New Roman" w:cs="Times New Roman"/>
          <w:sz w:val="24"/>
        </w:rPr>
        <w:t xml:space="preserve"> 2014’te gelir vergisi faal müke</w:t>
      </w:r>
      <w:r w:rsidR="00AA47DD">
        <w:rPr>
          <w:rFonts w:ascii="Times New Roman" w:hAnsi="Times New Roman" w:cs="Times New Roman"/>
          <w:sz w:val="24"/>
        </w:rPr>
        <w:t>llef sayı</w:t>
      </w:r>
      <w:r w:rsidR="00BA3D12">
        <w:rPr>
          <w:rFonts w:ascii="Times New Roman" w:hAnsi="Times New Roman" w:cs="Times New Roman"/>
          <w:sz w:val="24"/>
        </w:rPr>
        <w:t>sı en fazla olan il yaklaşık 489</w:t>
      </w:r>
      <w:r>
        <w:rPr>
          <w:rFonts w:ascii="Times New Roman" w:hAnsi="Times New Roman" w:cs="Times New Roman"/>
          <w:sz w:val="24"/>
        </w:rPr>
        <w:t xml:space="preserve"> bin mükellef ile İstanbul oldu. İ</w:t>
      </w:r>
      <w:r w:rsidR="00BA3D12">
        <w:rPr>
          <w:rFonts w:ascii="Times New Roman" w:hAnsi="Times New Roman" w:cs="Times New Roman"/>
          <w:sz w:val="24"/>
        </w:rPr>
        <w:t>stanbul’u 131 bin’le Ankara, 123</w:t>
      </w:r>
      <w:r>
        <w:rPr>
          <w:rFonts w:ascii="Times New Roman" w:hAnsi="Times New Roman" w:cs="Times New Roman"/>
          <w:sz w:val="24"/>
        </w:rPr>
        <w:t xml:space="preserve"> binle İzmir ve 77 binle Bursa izledi. </w:t>
      </w:r>
    </w:p>
    <w:p w:rsidR="00F76AFB" w:rsidRDefault="00F76AFB" w:rsidP="00ED7524">
      <w:pPr>
        <w:spacing w:line="360" w:lineRule="auto"/>
        <w:rPr>
          <w:rFonts w:ascii="Times New Roman" w:hAnsi="Times New Roman" w:cs="Times New Roman"/>
          <w:sz w:val="24"/>
        </w:rPr>
      </w:pPr>
    </w:p>
    <w:p w:rsidR="00F76AFB" w:rsidRDefault="00F76AFB" w:rsidP="00ED7524">
      <w:pPr>
        <w:spacing w:line="360" w:lineRule="auto"/>
        <w:rPr>
          <w:rFonts w:ascii="Times New Roman" w:hAnsi="Times New Roman" w:cs="Times New Roman"/>
          <w:sz w:val="24"/>
        </w:rPr>
      </w:pPr>
    </w:p>
    <w:p w:rsidR="00F76AFB" w:rsidRDefault="00F76AFB" w:rsidP="00ED7524">
      <w:pPr>
        <w:spacing w:line="360" w:lineRule="auto"/>
        <w:rPr>
          <w:rFonts w:ascii="Times New Roman" w:hAnsi="Times New Roman" w:cs="Times New Roman"/>
          <w:sz w:val="24"/>
        </w:rPr>
      </w:pPr>
    </w:p>
    <w:p w:rsidR="00F76AFB" w:rsidRPr="00F76AFB" w:rsidRDefault="00F76AFB" w:rsidP="00ED7524">
      <w:pPr>
        <w:spacing w:line="360" w:lineRule="auto"/>
        <w:rPr>
          <w:rFonts w:ascii="Times New Roman" w:hAnsi="Times New Roman" w:cs="Times New Roman"/>
          <w:szCs w:val="18"/>
        </w:rPr>
      </w:pPr>
    </w:p>
    <w:p w:rsidR="00ED7524" w:rsidRDefault="00F76AFB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 2</w:t>
      </w:r>
      <w:r w:rsidR="00ED7524" w:rsidRPr="00CB6DC5">
        <w:rPr>
          <w:rFonts w:ascii="Times New Roman" w:hAnsi="Times New Roman" w:cs="Times New Roman"/>
          <w:b/>
          <w:szCs w:val="18"/>
        </w:rPr>
        <w:t>.</w:t>
      </w:r>
      <w:r w:rsidR="00ED7524" w:rsidRPr="00CB6DC5">
        <w:rPr>
          <w:rFonts w:ascii="Times New Roman" w:hAnsi="Times New Roman" w:cs="Times New Roman"/>
          <w:szCs w:val="18"/>
        </w:rPr>
        <w:t xml:space="preserve"> </w:t>
      </w:r>
      <w:r w:rsidR="00ED7524">
        <w:rPr>
          <w:rFonts w:ascii="Times New Roman" w:hAnsi="Times New Roman" w:cs="Times New Roman"/>
          <w:szCs w:val="18"/>
        </w:rPr>
        <w:t>Gelir Vergisi Faal Mükellef Sayısı En Fazla Olan 10 İl</w:t>
      </w:r>
      <w:r w:rsidR="00DD3408">
        <w:rPr>
          <w:rFonts w:ascii="Times New Roman" w:hAnsi="Times New Roman" w:cs="Times New Roman"/>
          <w:szCs w:val="18"/>
        </w:rPr>
        <w:t xml:space="preserve"> (Aralık</w:t>
      </w:r>
      <w:r w:rsidR="00ED7524">
        <w:rPr>
          <w:rFonts w:ascii="Times New Roman" w:hAnsi="Times New Roman" w:cs="Times New Roman"/>
          <w:szCs w:val="18"/>
        </w:rPr>
        <w:t>; 2014</w:t>
      </w:r>
      <w:r w:rsidR="00ED7524" w:rsidRPr="00CB6DC5">
        <w:rPr>
          <w:rFonts w:ascii="Times New Roman" w:hAnsi="Times New Roman" w:cs="Times New Roman"/>
          <w:szCs w:val="18"/>
        </w:rPr>
        <w:t>)</w:t>
      </w:r>
    </w:p>
    <w:p w:rsidR="00ED7524" w:rsidRDefault="00471DA3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471DA3">
        <w:rPr>
          <w:rFonts w:ascii="Times New Roman" w:hAnsi="Times New Roman" w:cs="Times New Roman"/>
          <w:noProof/>
          <w:szCs w:val="18"/>
          <w:lang w:val="en-GB" w:eastAsia="en-GB"/>
        </w:rPr>
        <w:drawing>
          <wp:inline distT="0" distB="0" distL="0" distR="0">
            <wp:extent cx="5953125" cy="2743200"/>
            <wp:effectExtent l="19050" t="0" r="9525" b="0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524" w:rsidRDefault="00FA4F5B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Aralık</w:t>
      </w:r>
      <w:r w:rsidR="00ED7524">
        <w:rPr>
          <w:rFonts w:ascii="Times New Roman" w:hAnsi="Times New Roman" w:cs="Times New Roman"/>
          <w:sz w:val="24"/>
        </w:rPr>
        <w:t xml:space="preserve"> 2014’te gelir vergisi faal mükel</w:t>
      </w:r>
      <w:r w:rsidR="007445F5">
        <w:rPr>
          <w:rFonts w:ascii="Times New Roman" w:hAnsi="Times New Roman" w:cs="Times New Roman"/>
          <w:sz w:val="24"/>
        </w:rPr>
        <w:t>lef sayısı en az olan il is</w:t>
      </w:r>
      <w:r w:rsidR="00DF2DC8">
        <w:rPr>
          <w:rFonts w:ascii="Times New Roman" w:hAnsi="Times New Roman" w:cs="Times New Roman"/>
          <w:sz w:val="24"/>
        </w:rPr>
        <w:t>e 965</w:t>
      </w:r>
      <w:r w:rsidR="00ED7524">
        <w:rPr>
          <w:rFonts w:ascii="Times New Roman" w:hAnsi="Times New Roman" w:cs="Times New Roman"/>
          <w:sz w:val="24"/>
        </w:rPr>
        <w:t xml:space="preserve"> mükellef ile Bayburt oldu. Bayburt’u b</w:t>
      </w:r>
      <w:r w:rsidR="00382AB8">
        <w:rPr>
          <w:rFonts w:ascii="Times New Roman" w:hAnsi="Times New Roman" w:cs="Times New Roman"/>
          <w:sz w:val="24"/>
        </w:rPr>
        <w:t>in 44 mükellef ile Tunceli, bin 150 mükellef ile Ardahan ve bin 671</w:t>
      </w:r>
      <w:r w:rsidR="00ED7524">
        <w:rPr>
          <w:rFonts w:ascii="Times New Roman" w:hAnsi="Times New Roman" w:cs="Times New Roman"/>
          <w:sz w:val="24"/>
        </w:rPr>
        <w:t xml:space="preserve"> mükellef ile Hakkâri izledi.</w:t>
      </w:r>
    </w:p>
    <w:p w:rsidR="00160C8F" w:rsidRDefault="0025760B" w:rsidP="006B2D78">
      <w:pPr>
        <w:spacing w:line="360" w:lineRule="auto"/>
        <w:rPr>
          <w:rFonts w:ascii="Times New Roman" w:hAnsi="Times New Roman" w:cs="Times New Roman"/>
          <w:noProof/>
          <w:szCs w:val="18"/>
        </w:rPr>
      </w:pPr>
      <w:r>
        <w:rPr>
          <w:rFonts w:ascii="Times New Roman" w:hAnsi="Times New Roman" w:cs="Times New Roman"/>
          <w:b/>
          <w:szCs w:val="18"/>
        </w:rPr>
        <w:t>Grafik 3</w:t>
      </w:r>
      <w:r w:rsidR="00ED7524" w:rsidRPr="00CB6DC5">
        <w:rPr>
          <w:rFonts w:ascii="Times New Roman" w:hAnsi="Times New Roman" w:cs="Times New Roman"/>
          <w:b/>
          <w:szCs w:val="18"/>
        </w:rPr>
        <w:t>.</w:t>
      </w:r>
      <w:r w:rsidR="00ED7524" w:rsidRPr="00CB6DC5">
        <w:rPr>
          <w:rFonts w:ascii="Times New Roman" w:hAnsi="Times New Roman" w:cs="Times New Roman"/>
          <w:szCs w:val="18"/>
        </w:rPr>
        <w:t xml:space="preserve"> </w:t>
      </w:r>
      <w:r w:rsidR="00ED7524">
        <w:rPr>
          <w:rFonts w:ascii="Times New Roman" w:hAnsi="Times New Roman" w:cs="Times New Roman"/>
          <w:szCs w:val="18"/>
        </w:rPr>
        <w:t>Gelir Vergisi Faal Mükellef Sayısı En Az Olan10 İl</w:t>
      </w:r>
      <w:r w:rsidR="0083216B">
        <w:rPr>
          <w:rFonts w:ascii="Times New Roman" w:hAnsi="Times New Roman" w:cs="Times New Roman"/>
          <w:szCs w:val="18"/>
        </w:rPr>
        <w:t xml:space="preserve"> (Aralık</w:t>
      </w:r>
      <w:r w:rsidR="00ED7524">
        <w:rPr>
          <w:rFonts w:ascii="Times New Roman" w:hAnsi="Times New Roman" w:cs="Times New Roman"/>
          <w:szCs w:val="18"/>
        </w:rPr>
        <w:t>; 2014</w:t>
      </w:r>
      <w:r w:rsidR="00ED7524" w:rsidRPr="00CB6DC5">
        <w:rPr>
          <w:rFonts w:ascii="Times New Roman" w:hAnsi="Times New Roman" w:cs="Times New Roman"/>
          <w:szCs w:val="18"/>
        </w:rPr>
        <w:t>)</w:t>
      </w:r>
    </w:p>
    <w:p w:rsidR="00243B22" w:rsidRDefault="00FA4F5B" w:rsidP="006B2D78">
      <w:pPr>
        <w:spacing w:line="360" w:lineRule="auto"/>
        <w:rPr>
          <w:rFonts w:ascii="Times New Roman" w:hAnsi="Times New Roman" w:cs="Times New Roman"/>
          <w:szCs w:val="18"/>
        </w:rPr>
      </w:pPr>
      <w:r w:rsidRPr="00FA4F5B">
        <w:rPr>
          <w:rFonts w:ascii="Times New Roman" w:hAnsi="Times New Roman" w:cs="Times New Roman"/>
          <w:noProof/>
          <w:szCs w:val="18"/>
          <w:lang w:val="en-GB" w:eastAsia="en-GB"/>
        </w:rPr>
        <w:drawing>
          <wp:inline distT="0" distB="0" distL="0" distR="0">
            <wp:extent cx="6019800" cy="2743200"/>
            <wp:effectExtent l="19050" t="0" r="19050" b="0"/>
            <wp:docPr id="6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2813" w:rsidRDefault="006A2813" w:rsidP="006B2D78">
      <w:pPr>
        <w:spacing w:line="360" w:lineRule="auto"/>
        <w:rPr>
          <w:rFonts w:ascii="Times New Roman" w:hAnsi="Times New Roman" w:cs="Times New Roman"/>
          <w:szCs w:val="18"/>
        </w:rPr>
      </w:pPr>
    </w:p>
    <w:p w:rsidR="001037F6" w:rsidRDefault="001037F6" w:rsidP="00427842">
      <w:pPr>
        <w:spacing w:line="360" w:lineRule="auto"/>
        <w:rPr>
          <w:rFonts w:ascii="Times New Roman" w:hAnsi="Times New Roman" w:cs="Times New Roman"/>
          <w:b/>
        </w:rPr>
      </w:pPr>
    </w:p>
    <w:p w:rsidR="00427842" w:rsidRPr="006B2D78" w:rsidRDefault="00053411" w:rsidP="0042784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Aralık</w:t>
      </w:r>
      <w:r w:rsidR="00427842" w:rsidRPr="006B2D78">
        <w:rPr>
          <w:rFonts w:ascii="Times New Roman" w:hAnsi="Times New Roman" w:cs="Times New Roman"/>
          <w:b/>
        </w:rPr>
        <w:t xml:space="preserve"> 2014 </w:t>
      </w:r>
      <w:r w:rsidR="00427842">
        <w:rPr>
          <w:rFonts w:ascii="Times New Roman" w:hAnsi="Times New Roman" w:cs="Times New Roman"/>
          <w:b/>
        </w:rPr>
        <w:t>kurumlar</w:t>
      </w:r>
      <w:r w:rsidR="00427842" w:rsidRPr="006B2D78">
        <w:rPr>
          <w:rFonts w:ascii="Times New Roman" w:hAnsi="Times New Roman" w:cs="Times New Roman"/>
          <w:b/>
        </w:rPr>
        <w:t xml:space="preserve"> vergisi faal mükellef sayıları Gelir </w:t>
      </w:r>
      <w:r>
        <w:rPr>
          <w:rFonts w:ascii="Times New Roman" w:hAnsi="Times New Roman" w:cs="Times New Roman"/>
          <w:b/>
        </w:rPr>
        <w:t>İdaresi Başkanlığı tarafından 14</w:t>
      </w:r>
      <w:r w:rsidR="00427842" w:rsidRPr="006B2D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Ocak</w:t>
      </w:r>
      <w:r w:rsidR="00427842" w:rsidRPr="006B2D78">
        <w:rPr>
          <w:rFonts w:ascii="Times New Roman" w:hAnsi="Times New Roman" w:cs="Times New Roman"/>
          <w:b/>
        </w:rPr>
        <w:t xml:space="preserve"> tarihinde açıklandı. </w:t>
      </w:r>
    </w:p>
    <w:p w:rsidR="00E52B4F" w:rsidRPr="00E52B4F" w:rsidRDefault="00C50DAC" w:rsidP="003416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</w:t>
      </w:r>
      <w:r w:rsidR="00427842">
        <w:rPr>
          <w:rFonts w:ascii="Times New Roman" w:hAnsi="Times New Roman" w:cs="Times New Roman"/>
        </w:rPr>
        <w:t xml:space="preserve"> 2014’de Türkiye genelinde kurumlar vergisi faal</w:t>
      </w:r>
      <w:r w:rsidR="00427842" w:rsidRPr="005D1CCA">
        <w:rPr>
          <w:rFonts w:ascii="Times New Roman" w:hAnsi="Times New Roman" w:cs="Times New Roman"/>
        </w:rPr>
        <w:t xml:space="preserve"> mükel</w:t>
      </w:r>
      <w:r>
        <w:rPr>
          <w:rFonts w:ascii="Times New Roman" w:hAnsi="Times New Roman" w:cs="Times New Roman"/>
        </w:rPr>
        <w:t>lefi sayısı 673 bin 920</w:t>
      </w:r>
      <w:r w:rsidR="007E6BFD">
        <w:rPr>
          <w:rFonts w:ascii="Times New Roman" w:hAnsi="Times New Roman" w:cs="Times New Roman"/>
        </w:rPr>
        <w:t xml:space="preserve"> </w:t>
      </w:r>
      <w:r w:rsidR="00427842" w:rsidRPr="005D1CCA">
        <w:rPr>
          <w:rFonts w:ascii="Times New Roman" w:hAnsi="Times New Roman" w:cs="Times New Roman"/>
        </w:rPr>
        <w:t>kişiye ulaştı.</w:t>
      </w:r>
      <w:r w:rsidR="00427842">
        <w:rPr>
          <w:rFonts w:ascii="Times New Roman" w:hAnsi="Times New Roman" w:cs="Times New Roman"/>
        </w:rPr>
        <w:t xml:space="preserve"> Kurumlar </w:t>
      </w:r>
      <w:r w:rsidR="00427842" w:rsidRPr="005D1CCA">
        <w:rPr>
          <w:rFonts w:ascii="Times New Roman" w:hAnsi="Times New Roman" w:cs="Times New Roman"/>
        </w:rPr>
        <w:t>vergisi faal mükellef sayısında Türkiye genelinde bir önceki yı</w:t>
      </w:r>
      <w:r w:rsidR="00427842">
        <w:rPr>
          <w:rFonts w:ascii="Times New Roman" w:hAnsi="Times New Roman" w:cs="Times New Roman"/>
        </w:rPr>
        <w:t>lın aynı dönemine göre yüzde 2</w:t>
      </w:r>
      <w:r w:rsidR="00427842" w:rsidRPr="005D1CCA">
        <w:rPr>
          <w:rFonts w:ascii="Times New Roman" w:hAnsi="Times New Roman" w:cs="Times New Roman"/>
        </w:rPr>
        <w:t>’</w:t>
      </w:r>
      <w:r w:rsidR="00427842">
        <w:rPr>
          <w:rFonts w:ascii="Times New Roman" w:hAnsi="Times New Roman" w:cs="Times New Roman"/>
        </w:rPr>
        <w:t>lik bir artış yaşan</w:t>
      </w:r>
      <w:r w:rsidR="00E52B4F">
        <w:rPr>
          <w:rFonts w:ascii="Times New Roman" w:hAnsi="Times New Roman" w:cs="Times New Roman"/>
        </w:rPr>
        <w:t>ırken, bir önceki aya göre ise yüzde 0,1’lik bir düşüş yaşandı.</w:t>
      </w:r>
    </w:p>
    <w:p w:rsidR="00AD1837" w:rsidRPr="00AD1837" w:rsidRDefault="00AD1837" w:rsidP="00427842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="000477B9">
        <w:rPr>
          <w:rFonts w:ascii="Times New Roman" w:hAnsi="Times New Roman" w:cs="Times New Roman"/>
          <w:b/>
          <w:szCs w:val="18"/>
        </w:rPr>
        <w:t xml:space="preserve"> 4</w:t>
      </w:r>
      <w:r w:rsidRPr="00CB6DC5">
        <w:rPr>
          <w:rFonts w:ascii="Times New Roman" w:hAnsi="Times New Roman" w:cs="Times New Roman"/>
          <w:b/>
          <w:szCs w:val="18"/>
        </w:rPr>
        <w:t>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Türkiye Geneli Kurumlar</w:t>
      </w:r>
      <w:r w:rsidRPr="00CB6DC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Vergisi Faal </w:t>
      </w:r>
      <w:r w:rsidRPr="00CB6DC5">
        <w:rPr>
          <w:rFonts w:ascii="Times New Roman" w:hAnsi="Times New Roman" w:cs="Times New Roman"/>
          <w:szCs w:val="18"/>
        </w:rPr>
        <w:t>Mükellef Sayısı</w:t>
      </w:r>
      <w:r>
        <w:rPr>
          <w:rFonts w:ascii="Times New Roman" w:hAnsi="Times New Roman" w:cs="Times New Roman"/>
          <w:szCs w:val="18"/>
        </w:rPr>
        <w:t xml:space="preserve"> </w:t>
      </w:r>
      <w:r w:rsidR="00E52B4F">
        <w:rPr>
          <w:rFonts w:ascii="Times New Roman" w:hAnsi="Times New Roman" w:cs="Times New Roman"/>
          <w:szCs w:val="18"/>
        </w:rPr>
        <w:t xml:space="preserve"> (Aralık</w:t>
      </w:r>
      <w:r w:rsidRPr="00CB6DC5">
        <w:rPr>
          <w:rFonts w:ascii="Times New Roman" w:hAnsi="Times New Roman" w:cs="Times New Roman"/>
          <w:szCs w:val="18"/>
        </w:rPr>
        <w:t>; 2014 - 2013)</w:t>
      </w:r>
    </w:p>
    <w:p w:rsidR="00427842" w:rsidRDefault="00B50D90" w:rsidP="006B2D78">
      <w:pPr>
        <w:spacing w:line="360" w:lineRule="auto"/>
      </w:pPr>
      <w:r w:rsidRPr="00B50D90">
        <w:rPr>
          <w:noProof/>
          <w:lang w:val="en-GB" w:eastAsia="en-GB"/>
        </w:rPr>
        <w:drawing>
          <wp:inline distT="0" distB="0" distL="0" distR="0">
            <wp:extent cx="5972175" cy="2743200"/>
            <wp:effectExtent l="19050" t="0" r="9525" b="0"/>
            <wp:docPr id="7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37F6" w:rsidRDefault="001037F6" w:rsidP="00427842">
      <w:pPr>
        <w:spacing w:line="360" w:lineRule="auto"/>
        <w:rPr>
          <w:rFonts w:ascii="Times New Roman" w:hAnsi="Times New Roman" w:cs="Times New Roman"/>
          <w:sz w:val="24"/>
        </w:rPr>
      </w:pPr>
    </w:p>
    <w:p w:rsidR="00427842" w:rsidRDefault="00427842" w:rsidP="0042784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 b</w:t>
      </w:r>
      <w:r w:rsidR="000477B9">
        <w:rPr>
          <w:rFonts w:ascii="Times New Roman" w:hAnsi="Times New Roman" w:cs="Times New Roman"/>
          <w:sz w:val="24"/>
        </w:rPr>
        <w:t>a</w:t>
      </w:r>
      <w:r w:rsidR="005E3D9D">
        <w:rPr>
          <w:rFonts w:ascii="Times New Roman" w:hAnsi="Times New Roman" w:cs="Times New Roman"/>
          <w:sz w:val="24"/>
        </w:rPr>
        <w:t>zında değerlendirildiğinde Aralık</w:t>
      </w:r>
      <w:r w:rsidR="000477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2014’te kurumlar vergisi faal mükellef sayı</w:t>
      </w:r>
      <w:r w:rsidR="001037F6">
        <w:rPr>
          <w:rFonts w:ascii="Times New Roman" w:hAnsi="Times New Roman" w:cs="Times New Roman"/>
          <w:sz w:val="24"/>
        </w:rPr>
        <w:t xml:space="preserve">sı en fazla olan il </w:t>
      </w:r>
      <w:r w:rsidR="00D74D5E">
        <w:rPr>
          <w:rFonts w:ascii="Times New Roman" w:hAnsi="Times New Roman" w:cs="Times New Roman"/>
          <w:sz w:val="24"/>
        </w:rPr>
        <w:t>250</w:t>
      </w:r>
      <w:r>
        <w:rPr>
          <w:rFonts w:ascii="Times New Roman" w:hAnsi="Times New Roman" w:cs="Times New Roman"/>
          <w:sz w:val="24"/>
        </w:rPr>
        <w:t xml:space="preserve"> bin mükellef ile İstanbul oldu. İstanbul’u </w:t>
      </w:r>
      <w:r w:rsidR="00D74D5E">
        <w:rPr>
          <w:rFonts w:ascii="Times New Roman" w:hAnsi="Times New Roman" w:cs="Times New Roman"/>
          <w:sz w:val="24"/>
        </w:rPr>
        <w:t xml:space="preserve">yaklaşık </w:t>
      </w:r>
      <w:r>
        <w:rPr>
          <w:rFonts w:ascii="Times New Roman" w:hAnsi="Times New Roman" w:cs="Times New Roman"/>
          <w:sz w:val="24"/>
        </w:rPr>
        <w:t xml:space="preserve">75 bin’le Ankara, 44 binle İzmir ve 25 binle Antalya takip etti. </w:t>
      </w: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sz w:val="24"/>
        </w:rPr>
      </w:pP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sz w:val="24"/>
        </w:rPr>
      </w:pP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sz w:val="24"/>
        </w:rPr>
      </w:pP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sz w:val="24"/>
        </w:rPr>
      </w:pP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0477B9" w:rsidRDefault="000477B9" w:rsidP="00427842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427842" w:rsidRDefault="001037F6" w:rsidP="00427842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 5</w:t>
      </w:r>
      <w:r w:rsidR="00427842" w:rsidRPr="00CB6DC5">
        <w:rPr>
          <w:rFonts w:ascii="Times New Roman" w:hAnsi="Times New Roman" w:cs="Times New Roman"/>
          <w:b/>
          <w:szCs w:val="18"/>
        </w:rPr>
        <w:t>.</w:t>
      </w:r>
      <w:r w:rsidR="00427842" w:rsidRPr="00CB6DC5">
        <w:rPr>
          <w:rFonts w:ascii="Times New Roman" w:hAnsi="Times New Roman" w:cs="Times New Roman"/>
          <w:szCs w:val="18"/>
        </w:rPr>
        <w:t xml:space="preserve"> </w:t>
      </w:r>
      <w:r w:rsidR="00427842">
        <w:rPr>
          <w:rFonts w:ascii="Times New Roman" w:hAnsi="Times New Roman" w:cs="Times New Roman"/>
          <w:szCs w:val="18"/>
        </w:rPr>
        <w:t>Kurumlar Vergisi Faal Mükellef Sayısı En Fazla Olan 10 İl</w:t>
      </w:r>
      <w:r w:rsidR="00D463A4">
        <w:rPr>
          <w:rFonts w:ascii="Times New Roman" w:hAnsi="Times New Roman" w:cs="Times New Roman"/>
          <w:szCs w:val="18"/>
        </w:rPr>
        <w:t xml:space="preserve"> (Aralık</w:t>
      </w:r>
      <w:r w:rsidR="00427842">
        <w:rPr>
          <w:rFonts w:ascii="Times New Roman" w:hAnsi="Times New Roman" w:cs="Times New Roman"/>
          <w:szCs w:val="18"/>
        </w:rPr>
        <w:t>; 2014</w:t>
      </w:r>
      <w:r w:rsidR="00427842" w:rsidRPr="00CB6DC5">
        <w:rPr>
          <w:rFonts w:ascii="Times New Roman" w:hAnsi="Times New Roman" w:cs="Times New Roman"/>
          <w:szCs w:val="18"/>
        </w:rPr>
        <w:t>)</w:t>
      </w:r>
    </w:p>
    <w:p w:rsidR="00427842" w:rsidRDefault="00D463A4" w:rsidP="006B2D78">
      <w:pPr>
        <w:spacing w:line="360" w:lineRule="auto"/>
      </w:pPr>
      <w:r w:rsidRPr="00D463A4">
        <w:rPr>
          <w:noProof/>
          <w:lang w:val="en-GB" w:eastAsia="en-GB"/>
        </w:rPr>
        <w:drawing>
          <wp:inline distT="0" distB="0" distL="0" distR="0">
            <wp:extent cx="6124575" cy="2743200"/>
            <wp:effectExtent l="19050" t="0" r="9525" b="0"/>
            <wp:docPr id="8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7842" w:rsidRDefault="001C5EEC" w:rsidP="0042784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Aralık</w:t>
      </w:r>
      <w:r w:rsidR="00427842">
        <w:rPr>
          <w:rFonts w:ascii="Times New Roman" w:hAnsi="Times New Roman" w:cs="Times New Roman"/>
          <w:sz w:val="24"/>
        </w:rPr>
        <w:t xml:space="preserve"> 2014’te kurumlar vergisi faal mükel</w:t>
      </w:r>
      <w:r w:rsidR="00824EEC">
        <w:rPr>
          <w:rFonts w:ascii="Times New Roman" w:hAnsi="Times New Roman" w:cs="Times New Roman"/>
          <w:sz w:val="24"/>
        </w:rPr>
        <w:t>lef sayısı en az olan il ise 217</w:t>
      </w:r>
      <w:r w:rsidR="00427842">
        <w:rPr>
          <w:rFonts w:ascii="Times New Roman" w:hAnsi="Times New Roman" w:cs="Times New Roman"/>
          <w:sz w:val="24"/>
        </w:rPr>
        <w:t xml:space="preserve"> mükellef</w:t>
      </w:r>
      <w:r>
        <w:rPr>
          <w:rFonts w:ascii="Times New Roman" w:hAnsi="Times New Roman" w:cs="Times New Roman"/>
          <w:sz w:val="24"/>
        </w:rPr>
        <w:t xml:space="preserve"> ile Ardahan oldu. Ardahan’ı 251 mükellef ile Bayburt, 252 mükellef ile Tunceli ve 432</w:t>
      </w:r>
      <w:r w:rsidR="00427842">
        <w:rPr>
          <w:rFonts w:ascii="Times New Roman" w:hAnsi="Times New Roman" w:cs="Times New Roman"/>
          <w:sz w:val="24"/>
        </w:rPr>
        <w:t xml:space="preserve"> mükellef ile Kilis takip etti.</w:t>
      </w:r>
    </w:p>
    <w:p w:rsidR="00427842" w:rsidRDefault="00F84E36" w:rsidP="006B2D78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Grafik </w:t>
      </w:r>
      <w:r w:rsidR="001037F6">
        <w:rPr>
          <w:rFonts w:ascii="Times New Roman" w:hAnsi="Times New Roman" w:cs="Times New Roman"/>
          <w:b/>
          <w:szCs w:val="18"/>
        </w:rPr>
        <w:t>6</w:t>
      </w:r>
      <w:r w:rsidR="00427842" w:rsidRPr="00CB6DC5">
        <w:rPr>
          <w:rFonts w:ascii="Times New Roman" w:hAnsi="Times New Roman" w:cs="Times New Roman"/>
          <w:b/>
          <w:szCs w:val="18"/>
        </w:rPr>
        <w:t>.</w:t>
      </w:r>
      <w:r w:rsidR="00427842" w:rsidRPr="00CB6DC5">
        <w:rPr>
          <w:rFonts w:ascii="Times New Roman" w:hAnsi="Times New Roman" w:cs="Times New Roman"/>
          <w:szCs w:val="18"/>
        </w:rPr>
        <w:t xml:space="preserve"> </w:t>
      </w:r>
      <w:r w:rsidR="00427842">
        <w:rPr>
          <w:rFonts w:ascii="Times New Roman" w:hAnsi="Times New Roman" w:cs="Times New Roman"/>
          <w:szCs w:val="18"/>
        </w:rPr>
        <w:t>Kurumlar Vergisi Faal Mükellef Sayısı En Az Olan10 İl</w:t>
      </w:r>
      <w:r w:rsidR="001C4EDA">
        <w:rPr>
          <w:rFonts w:ascii="Times New Roman" w:hAnsi="Times New Roman" w:cs="Times New Roman"/>
          <w:szCs w:val="18"/>
        </w:rPr>
        <w:t xml:space="preserve"> (Aralık</w:t>
      </w:r>
      <w:r w:rsidR="00427842">
        <w:rPr>
          <w:rFonts w:ascii="Times New Roman" w:hAnsi="Times New Roman" w:cs="Times New Roman"/>
          <w:szCs w:val="18"/>
        </w:rPr>
        <w:t>; 2014</w:t>
      </w:r>
      <w:r w:rsidR="00427842" w:rsidRPr="00CB6DC5">
        <w:rPr>
          <w:rFonts w:ascii="Times New Roman" w:hAnsi="Times New Roman" w:cs="Times New Roman"/>
          <w:szCs w:val="18"/>
        </w:rPr>
        <w:t>)</w:t>
      </w:r>
    </w:p>
    <w:p w:rsidR="00427842" w:rsidRDefault="001C4EDA" w:rsidP="006B2D78">
      <w:pPr>
        <w:spacing w:line="360" w:lineRule="auto"/>
      </w:pPr>
      <w:r w:rsidRPr="001C4EDA">
        <w:rPr>
          <w:noProof/>
          <w:lang w:val="en-GB" w:eastAsia="en-GB"/>
        </w:rPr>
        <w:drawing>
          <wp:inline distT="0" distB="0" distL="0" distR="0">
            <wp:extent cx="6229350" cy="3133725"/>
            <wp:effectExtent l="19050" t="0" r="19050" b="0"/>
            <wp:docPr id="9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27842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9E" w:rsidRDefault="004D459E" w:rsidP="00C04441">
      <w:pPr>
        <w:spacing w:after="0" w:line="240" w:lineRule="auto"/>
      </w:pPr>
      <w:r>
        <w:separator/>
      </w:r>
    </w:p>
  </w:endnote>
  <w:endnote w:type="continuationSeparator" w:id="0">
    <w:p w:rsidR="004D459E" w:rsidRDefault="004D459E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9E" w:rsidRDefault="004D459E" w:rsidP="00C04441">
      <w:pPr>
        <w:spacing w:after="0" w:line="240" w:lineRule="auto"/>
      </w:pPr>
      <w:r>
        <w:separator/>
      </w:r>
    </w:p>
  </w:footnote>
  <w:footnote w:type="continuationSeparator" w:id="0">
    <w:p w:rsidR="004D459E" w:rsidRDefault="004D459E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477B9"/>
    <w:rsid w:val="00053411"/>
    <w:rsid w:val="000701FD"/>
    <w:rsid w:val="000B7EA9"/>
    <w:rsid w:val="000D18BE"/>
    <w:rsid w:val="001037F6"/>
    <w:rsid w:val="001243A0"/>
    <w:rsid w:val="00160C8F"/>
    <w:rsid w:val="001C4EDA"/>
    <w:rsid w:val="001C5EEC"/>
    <w:rsid w:val="001E11A2"/>
    <w:rsid w:val="001E5A63"/>
    <w:rsid w:val="001F7633"/>
    <w:rsid w:val="00233BD5"/>
    <w:rsid w:val="00243B22"/>
    <w:rsid w:val="0025760B"/>
    <w:rsid w:val="002650D5"/>
    <w:rsid w:val="002B53E4"/>
    <w:rsid w:val="002D3E19"/>
    <w:rsid w:val="003416F4"/>
    <w:rsid w:val="003440DD"/>
    <w:rsid w:val="00351561"/>
    <w:rsid w:val="00357954"/>
    <w:rsid w:val="00357D7F"/>
    <w:rsid w:val="003641B3"/>
    <w:rsid w:val="00382AB8"/>
    <w:rsid w:val="003A57CB"/>
    <w:rsid w:val="00424CC0"/>
    <w:rsid w:val="00427842"/>
    <w:rsid w:val="00432DF5"/>
    <w:rsid w:val="00471DA3"/>
    <w:rsid w:val="004D459E"/>
    <w:rsid w:val="00517288"/>
    <w:rsid w:val="00522A6C"/>
    <w:rsid w:val="005405F5"/>
    <w:rsid w:val="0056193B"/>
    <w:rsid w:val="00574C38"/>
    <w:rsid w:val="00575739"/>
    <w:rsid w:val="00587F77"/>
    <w:rsid w:val="005A76E3"/>
    <w:rsid w:val="005C0830"/>
    <w:rsid w:val="005C53F8"/>
    <w:rsid w:val="005E3D9D"/>
    <w:rsid w:val="006020BD"/>
    <w:rsid w:val="00607D30"/>
    <w:rsid w:val="00632431"/>
    <w:rsid w:val="00677B0D"/>
    <w:rsid w:val="006A2813"/>
    <w:rsid w:val="006B2D78"/>
    <w:rsid w:val="006B7A2E"/>
    <w:rsid w:val="006D41B5"/>
    <w:rsid w:val="0070186C"/>
    <w:rsid w:val="00706A30"/>
    <w:rsid w:val="00731B2B"/>
    <w:rsid w:val="007330A1"/>
    <w:rsid w:val="007441EB"/>
    <w:rsid w:val="007445F5"/>
    <w:rsid w:val="007736BE"/>
    <w:rsid w:val="00774BC2"/>
    <w:rsid w:val="007811BD"/>
    <w:rsid w:val="007B58E6"/>
    <w:rsid w:val="007E6BFD"/>
    <w:rsid w:val="008103A7"/>
    <w:rsid w:val="00824EEC"/>
    <w:rsid w:val="0083216B"/>
    <w:rsid w:val="00847041"/>
    <w:rsid w:val="008A575D"/>
    <w:rsid w:val="008C0AA6"/>
    <w:rsid w:val="008C2C15"/>
    <w:rsid w:val="008C7F9E"/>
    <w:rsid w:val="008D1077"/>
    <w:rsid w:val="00907E0D"/>
    <w:rsid w:val="00910DEF"/>
    <w:rsid w:val="00923FD3"/>
    <w:rsid w:val="00935B34"/>
    <w:rsid w:val="00953250"/>
    <w:rsid w:val="00953AE6"/>
    <w:rsid w:val="00991A8C"/>
    <w:rsid w:val="0099798A"/>
    <w:rsid w:val="009A6E86"/>
    <w:rsid w:val="009E3D34"/>
    <w:rsid w:val="009F0A83"/>
    <w:rsid w:val="009F54F1"/>
    <w:rsid w:val="00A56D90"/>
    <w:rsid w:val="00A705F6"/>
    <w:rsid w:val="00A77365"/>
    <w:rsid w:val="00AA2C2F"/>
    <w:rsid w:val="00AA47DD"/>
    <w:rsid w:val="00AD1837"/>
    <w:rsid w:val="00AD2065"/>
    <w:rsid w:val="00AF77FE"/>
    <w:rsid w:val="00B365A2"/>
    <w:rsid w:val="00B50D90"/>
    <w:rsid w:val="00BA3D12"/>
    <w:rsid w:val="00BB300D"/>
    <w:rsid w:val="00BC294E"/>
    <w:rsid w:val="00BC5F10"/>
    <w:rsid w:val="00BC7F03"/>
    <w:rsid w:val="00BD2B90"/>
    <w:rsid w:val="00C04441"/>
    <w:rsid w:val="00C144CC"/>
    <w:rsid w:val="00C21D8B"/>
    <w:rsid w:val="00C260E5"/>
    <w:rsid w:val="00C50DAC"/>
    <w:rsid w:val="00C72C13"/>
    <w:rsid w:val="00CC6DF9"/>
    <w:rsid w:val="00CC7D5F"/>
    <w:rsid w:val="00CD3A76"/>
    <w:rsid w:val="00CD5F8B"/>
    <w:rsid w:val="00D072F6"/>
    <w:rsid w:val="00D2299D"/>
    <w:rsid w:val="00D23355"/>
    <w:rsid w:val="00D463A4"/>
    <w:rsid w:val="00D74D5E"/>
    <w:rsid w:val="00DB1389"/>
    <w:rsid w:val="00DC5FDC"/>
    <w:rsid w:val="00DD3408"/>
    <w:rsid w:val="00DE241E"/>
    <w:rsid w:val="00DE7934"/>
    <w:rsid w:val="00DF2DC8"/>
    <w:rsid w:val="00E202D5"/>
    <w:rsid w:val="00E519A0"/>
    <w:rsid w:val="00E52B4F"/>
    <w:rsid w:val="00ED7524"/>
    <w:rsid w:val="00EF4E45"/>
    <w:rsid w:val="00F061D6"/>
    <w:rsid w:val="00F76AFB"/>
    <w:rsid w:val="00F84E36"/>
    <w:rsid w:val="00FA4F5B"/>
    <w:rsid w:val="00FB6256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G&#304;B%20ARALIK%202014\Gelir%20ve%20Kurumlar%20Vergisi%20Faal%20M&#252;kellef%20Say&#305;lar&#305;_Aral&#305;k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diamond"/>
            <c:size val="10"/>
          </c:marker>
          <c:dLbls>
            <c:dLbl>
              <c:idx val="12"/>
              <c:layout>
                <c:manualLayout>
                  <c:x val="-2.113048071843634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'Gelir Vergisi Faal Mükellef'!$O$1:$AA$1</c:f>
              <c:numCache>
                <c:formatCode>mmm/yy</c:formatCode>
                <c:ptCount val="13"/>
                <c:pt idx="0">
                  <c:v>41609</c:v>
                </c:pt>
                <c:pt idx="1">
                  <c:v>41640</c:v>
                </c:pt>
                <c:pt idx="2">
                  <c:v>41671</c:v>
                </c:pt>
                <c:pt idx="3">
                  <c:v>41699</c:v>
                </c:pt>
                <c:pt idx="4">
                  <c:v>41730</c:v>
                </c:pt>
                <c:pt idx="5">
                  <c:v>41760</c:v>
                </c:pt>
                <c:pt idx="6">
                  <c:v>41791</c:v>
                </c:pt>
                <c:pt idx="7">
                  <c:v>41821</c:v>
                </c:pt>
                <c:pt idx="8">
                  <c:v>41852</c:v>
                </c:pt>
                <c:pt idx="9">
                  <c:v>41883</c:v>
                </c:pt>
                <c:pt idx="10">
                  <c:v>41913</c:v>
                </c:pt>
                <c:pt idx="11">
                  <c:v>41944</c:v>
                </c:pt>
                <c:pt idx="12">
                  <c:v>41974</c:v>
                </c:pt>
              </c:numCache>
            </c:numRef>
          </c:cat>
          <c:val>
            <c:numRef>
              <c:f>'Gelir Vergisi Faal Mükellef'!$O$83:$AA$83</c:f>
              <c:numCache>
                <c:formatCode>#,##0</c:formatCode>
                <c:ptCount val="13"/>
                <c:pt idx="0">
                  <c:v>1798056</c:v>
                </c:pt>
                <c:pt idx="1">
                  <c:v>1776356</c:v>
                </c:pt>
                <c:pt idx="2">
                  <c:v>1766734</c:v>
                </c:pt>
                <c:pt idx="3">
                  <c:v>1776974</c:v>
                </c:pt>
                <c:pt idx="4">
                  <c:v>1782970</c:v>
                </c:pt>
                <c:pt idx="5">
                  <c:v>1789294</c:v>
                </c:pt>
                <c:pt idx="6">
                  <c:v>1791713</c:v>
                </c:pt>
                <c:pt idx="7">
                  <c:v>1791904</c:v>
                </c:pt>
                <c:pt idx="8">
                  <c:v>1795864</c:v>
                </c:pt>
                <c:pt idx="9">
                  <c:v>1801849</c:v>
                </c:pt>
                <c:pt idx="10">
                  <c:v>1804196</c:v>
                </c:pt>
                <c:pt idx="11">
                  <c:v>1806750</c:v>
                </c:pt>
                <c:pt idx="12">
                  <c:v>1798738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480192"/>
        <c:axId val="87481728"/>
      </c:lineChart>
      <c:dateAx>
        <c:axId val="8748019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87481728"/>
        <c:crosses val="autoZero"/>
        <c:auto val="1"/>
        <c:lblOffset val="100"/>
        <c:baseTimeUnit val="months"/>
      </c:dateAx>
      <c:valAx>
        <c:axId val="87481728"/>
        <c:scaling>
          <c:orientation val="minMax"/>
          <c:min val="1765000"/>
        </c:scaling>
        <c:delete val="0"/>
        <c:axPos val="l"/>
        <c:minorGridlines/>
        <c:numFmt formatCode="#,##0" sourceLinked="1"/>
        <c:majorTickMark val="out"/>
        <c:minorTickMark val="none"/>
        <c:tickLblPos val="nextTo"/>
        <c:crossAx val="87480192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Sayfa3!$A$73:$A$82</c:f>
              <c:strCache>
                <c:ptCount val="10"/>
                <c:pt idx="0">
                  <c:v>İÇEL</c:v>
                </c:pt>
                <c:pt idx="1">
                  <c:v>GAZİANTEP</c:v>
                </c:pt>
                <c:pt idx="2">
                  <c:v>KOCAELİ</c:v>
                </c:pt>
                <c:pt idx="3">
                  <c:v>ADANA</c:v>
                </c:pt>
                <c:pt idx="4">
                  <c:v>KONYA</c:v>
                </c:pt>
                <c:pt idx="5">
                  <c:v>ANTALYA</c:v>
                </c:pt>
                <c:pt idx="6">
                  <c:v>BURSA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Sayfa3!$B$73:$B$82</c:f>
              <c:numCache>
                <c:formatCode>#,##0</c:formatCode>
                <c:ptCount val="10"/>
                <c:pt idx="0">
                  <c:v>38213</c:v>
                </c:pt>
                <c:pt idx="1">
                  <c:v>40768</c:v>
                </c:pt>
                <c:pt idx="2">
                  <c:v>44176</c:v>
                </c:pt>
                <c:pt idx="3">
                  <c:v>44308</c:v>
                </c:pt>
                <c:pt idx="4">
                  <c:v>50044</c:v>
                </c:pt>
                <c:pt idx="5">
                  <c:v>76385</c:v>
                </c:pt>
                <c:pt idx="6">
                  <c:v>77254</c:v>
                </c:pt>
                <c:pt idx="7">
                  <c:v>123467</c:v>
                </c:pt>
                <c:pt idx="8">
                  <c:v>130539</c:v>
                </c:pt>
                <c:pt idx="9">
                  <c:v>488814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104384"/>
        <c:axId val="89105920"/>
      </c:barChart>
      <c:catAx>
        <c:axId val="89104384"/>
        <c:scaling>
          <c:orientation val="minMax"/>
        </c:scaling>
        <c:delete val="0"/>
        <c:axPos val="l"/>
        <c:majorTickMark val="out"/>
        <c:minorTickMark val="none"/>
        <c:tickLblPos val="nextTo"/>
        <c:crossAx val="89105920"/>
        <c:crosses val="autoZero"/>
        <c:auto val="1"/>
        <c:lblAlgn val="ctr"/>
        <c:lblOffset val="100"/>
        <c:noMultiLvlLbl val="0"/>
      </c:catAx>
      <c:valAx>
        <c:axId val="89105920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one"/>
        <c:crossAx val="89104384"/>
        <c:crosses val="autoZero"/>
        <c:crossBetween val="between"/>
      </c:valAx>
      <c:spPr>
        <a:solidFill>
          <a:schemeClr val="bg2"/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671062992125985"/>
          <c:y val="5.0925925925925923E-2"/>
          <c:w val="0.7710671478565179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Sayfa4!$A$73:$A$82</c:f>
              <c:strCache>
                <c:ptCount val="10"/>
                <c:pt idx="0">
                  <c:v>IĞDIR</c:v>
                </c:pt>
                <c:pt idx="1">
                  <c:v>ÇANKIRI</c:v>
                </c:pt>
                <c:pt idx="2">
                  <c:v>BİNGÖL</c:v>
                </c:pt>
                <c:pt idx="3">
                  <c:v>SİİRT</c:v>
                </c:pt>
                <c:pt idx="4">
                  <c:v>KİLİS</c:v>
                </c:pt>
                <c:pt idx="5">
                  <c:v>GÜMÜŞHANE</c:v>
                </c:pt>
                <c:pt idx="6">
                  <c:v>HAKKARİ</c:v>
                </c:pt>
                <c:pt idx="7">
                  <c:v>ARDAHAN</c:v>
                </c:pt>
                <c:pt idx="8">
                  <c:v>TUNCELİ</c:v>
                </c:pt>
                <c:pt idx="9">
                  <c:v>BAYBURT</c:v>
                </c:pt>
              </c:strCache>
            </c:strRef>
          </c:cat>
          <c:val>
            <c:numRef>
              <c:f>Sayfa4!$B$73:$B$82</c:f>
              <c:numCache>
                <c:formatCode>#,##0</c:formatCode>
                <c:ptCount val="10"/>
                <c:pt idx="0">
                  <c:v>2773</c:v>
                </c:pt>
                <c:pt idx="1">
                  <c:v>2542</c:v>
                </c:pt>
                <c:pt idx="2">
                  <c:v>2205</c:v>
                </c:pt>
                <c:pt idx="3">
                  <c:v>2045</c:v>
                </c:pt>
                <c:pt idx="4">
                  <c:v>1908</c:v>
                </c:pt>
                <c:pt idx="5">
                  <c:v>1907</c:v>
                </c:pt>
                <c:pt idx="6">
                  <c:v>1671</c:v>
                </c:pt>
                <c:pt idx="7">
                  <c:v>1150</c:v>
                </c:pt>
                <c:pt idx="8">
                  <c:v>1044</c:v>
                </c:pt>
                <c:pt idx="9" formatCode="General">
                  <c:v>965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208704"/>
        <c:axId val="89210240"/>
      </c:barChart>
      <c:catAx>
        <c:axId val="89208704"/>
        <c:scaling>
          <c:orientation val="minMax"/>
        </c:scaling>
        <c:delete val="0"/>
        <c:axPos val="l"/>
        <c:majorTickMark val="out"/>
        <c:minorTickMark val="none"/>
        <c:tickLblPos val="nextTo"/>
        <c:crossAx val="89210240"/>
        <c:crosses val="autoZero"/>
        <c:auto val="1"/>
        <c:lblAlgn val="ctr"/>
        <c:lblOffset val="100"/>
        <c:noMultiLvlLbl val="0"/>
      </c:catAx>
      <c:valAx>
        <c:axId val="89210240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one"/>
        <c:crossAx val="89208704"/>
        <c:crosses val="autoZero"/>
        <c:crossBetween val="between"/>
      </c:valAx>
      <c:spPr>
        <a:solidFill>
          <a:schemeClr val="bg2"/>
        </a:solidFill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diamond"/>
            <c:size val="10"/>
          </c:marker>
          <c:dLbls>
            <c:dLbl>
              <c:idx val="12"/>
              <c:layout>
                <c:manualLayout>
                  <c:x val="-2.7777777777777717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'Kurumlar Vergisi Faal Mükellef '!$O$1:$AA$1</c:f>
              <c:numCache>
                <c:formatCode>mmm/yy</c:formatCode>
                <c:ptCount val="13"/>
                <c:pt idx="0">
                  <c:v>41609</c:v>
                </c:pt>
                <c:pt idx="1">
                  <c:v>41640</c:v>
                </c:pt>
                <c:pt idx="2">
                  <c:v>41671</c:v>
                </c:pt>
                <c:pt idx="3">
                  <c:v>41699</c:v>
                </c:pt>
                <c:pt idx="4">
                  <c:v>41730</c:v>
                </c:pt>
                <c:pt idx="5">
                  <c:v>41760</c:v>
                </c:pt>
                <c:pt idx="6">
                  <c:v>41791</c:v>
                </c:pt>
                <c:pt idx="7">
                  <c:v>41821</c:v>
                </c:pt>
                <c:pt idx="8">
                  <c:v>41852</c:v>
                </c:pt>
                <c:pt idx="9">
                  <c:v>41883</c:v>
                </c:pt>
                <c:pt idx="10">
                  <c:v>41913</c:v>
                </c:pt>
                <c:pt idx="11">
                  <c:v>41944</c:v>
                </c:pt>
                <c:pt idx="12">
                  <c:v>41974</c:v>
                </c:pt>
              </c:numCache>
            </c:numRef>
          </c:cat>
          <c:val>
            <c:numRef>
              <c:f>'Kurumlar Vergisi Faal Mükellef '!$O$83:$AA$83</c:f>
              <c:numCache>
                <c:formatCode>#,##0</c:formatCode>
                <c:ptCount val="13"/>
                <c:pt idx="0">
                  <c:v>662225</c:v>
                </c:pt>
                <c:pt idx="1">
                  <c:v>662341</c:v>
                </c:pt>
                <c:pt idx="2">
                  <c:v>663429</c:v>
                </c:pt>
                <c:pt idx="3">
                  <c:v>665107</c:v>
                </c:pt>
                <c:pt idx="4">
                  <c:v>667021</c:v>
                </c:pt>
                <c:pt idx="5">
                  <c:v>668980</c:v>
                </c:pt>
                <c:pt idx="6">
                  <c:v>669310</c:v>
                </c:pt>
                <c:pt idx="7">
                  <c:v>669801</c:v>
                </c:pt>
                <c:pt idx="8">
                  <c:v>670980</c:v>
                </c:pt>
                <c:pt idx="9">
                  <c:v>672461</c:v>
                </c:pt>
                <c:pt idx="10">
                  <c:v>673423</c:v>
                </c:pt>
                <c:pt idx="11">
                  <c:v>674835</c:v>
                </c:pt>
                <c:pt idx="12">
                  <c:v>673920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30720"/>
        <c:axId val="89248896"/>
      </c:lineChart>
      <c:dateAx>
        <c:axId val="8923072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89248896"/>
        <c:crosses val="autoZero"/>
        <c:auto val="1"/>
        <c:lblOffset val="100"/>
        <c:baseTimeUnit val="months"/>
      </c:dateAx>
      <c:valAx>
        <c:axId val="89248896"/>
        <c:scaling>
          <c:orientation val="minMax"/>
          <c:min val="661000"/>
        </c:scaling>
        <c:delete val="0"/>
        <c:axPos val="l"/>
        <c:minorGridlines/>
        <c:numFmt formatCode="#,##0" sourceLinked="1"/>
        <c:majorTickMark val="out"/>
        <c:minorTickMark val="none"/>
        <c:tickLblPos val="nextTo"/>
        <c:crossAx val="89230720"/>
        <c:crosses val="autoZero"/>
        <c:crossBetween val="between"/>
      </c:valAx>
      <c:spPr>
        <a:solidFill>
          <a:schemeClr val="bg2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Sayfa5!$A$73:$A$82</c:f>
              <c:strCache>
                <c:ptCount val="10"/>
                <c:pt idx="0">
                  <c:v>GAZİANTEP</c:v>
                </c:pt>
                <c:pt idx="1">
                  <c:v>İÇEL</c:v>
                </c:pt>
                <c:pt idx="2">
                  <c:v>ADANA</c:v>
                </c:pt>
                <c:pt idx="3">
                  <c:v>KONYA</c:v>
                </c:pt>
                <c:pt idx="4">
                  <c:v>KOCAELİ</c:v>
                </c:pt>
                <c:pt idx="5">
                  <c:v>BURSA</c:v>
                </c:pt>
                <c:pt idx="6">
                  <c:v>ANTALYA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Sayfa5!$B$73:$B$82</c:f>
              <c:numCache>
                <c:formatCode>#,##0</c:formatCode>
                <c:ptCount val="10"/>
                <c:pt idx="0">
                  <c:v>10674</c:v>
                </c:pt>
                <c:pt idx="1">
                  <c:v>11825</c:v>
                </c:pt>
                <c:pt idx="2">
                  <c:v>12516</c:v>
                </c:pt>
                <c:pt idx="3">
                  <c:v>14728</c:v>
                </c:pt>
                <c:pt idx="4">
                  <c:v>15791</c:v>
                </c:pt>
                <c:pt idx="5">
                  <c:v>24022</c:v>
                </c:pt>
                <c:pt idx="6">
                  <c:v>25418</c:v>
                </c:pt>
                <c:pt idx="7">
                  <c:v>43552</c:v>
                </c:pt>
                <c:pt idx="8">
                  <c:v>74530</c:v>
                </c:pt>
                <c:pt idx="9">
                  <c:v>250311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761280"/>
        <c:axId val="153762816"/>
      </c:barChart>
      <c:catAx>
        <c:axId val="153761280"/>
        <c:scaling>
          <c:orientation val="minMax"/>
        </c:scaling>
        <c:delete val="0"/>
        <c:axPos val="l"/>
        <c:majorTickMark val="out"/>
        <c:minorTickMark val="none"/>
        <c:tickLblPos val="nextTo"/>
        <c:crossAx val="153762816"/>
        <c:crosses val="autoZero"/>
        <c:auto val="1"/>
        <c:lblAlgn val="ctr"/>
        <c:lblOffset val="100"/>
        <c:noMultiLvlLbl val="0"/>
      </c:catAx>
      <c:valAx>
        <c:axId val="153762816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one"/>
        <c:crossAx val="153761280"/>
        <c:crosses val="autoZero"/>
        <c:crossBetween val="between"/>
      </c:valAx>
      <c:spPr>
        <a:solidFill>
          <a:schemeClr val="bg2"/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39790966754155765"/>
                  <c:y val="-4.629629629629632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8563429571303587"/>
                  <c:y val="-4.629629629629632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7744181977252866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4574890638670158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3438213035870519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7190201224846916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4261876640419949"/>
                  <c:y val="-4.243778136006683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6142913385826782"/>
                  <c:y val="-9.259259259259274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5485673665791788"/>
                  <c:y val="-4.629629629629632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38920166229221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Sayfa6!$A$73:$A$82</c:f>
              <c:strCache>
                <c:ptCount val="10"/>
                <c:pt idx="0">
                  <c:v>HAKKARİ</c:v>
                </c:pt>
                <c:pt idx="1">
                  <c:v>SİİRT</c:v>
                </c:pt>
                <c:pt idx="2">
                  <c:v>KARS</c:v>
                </c:pt>
                <c:pt idx="3">
                  <c:v>ÇANKIRI</c:v>
                </c:pt>
                <c:pt idx="4">
                  <c:v>BARTIN</c:v>
                </c:pt>
                <c:pt idx="5">
                  <c:v>GÜMÜŞHANE</c:v>
                </c:pt>
                <c:pt idx="6">
                  <c:v>KİLİS</c:v>
                </c:pt>
                <c:pt idx="7">
                  <c:v>TUNCELİ</c:v>
                </c:pt>
                <c:pt idx="8">
                  <c:v>BAYBURT</c:v>
                </c:pt>
                <c:pt idx="9">
                  <c:v>ARDAHAN</c:v>
                </c:pt>
              </c:strCache>
            </c:strRef>
          </c:cat>
          <c:val>
            <c:numRef>
              <c:f>Sayfa6!$B$73:$B$82</c:f>
              <c:numCache>
                <c:formatCode>General</c:formatCode>
                <c:ptCount val="10"/>
                <c:pt idx="0">
                  <c:v>760</c:v>
                </c:pt>
                <c:pt idx="1">
                  <c:v>723</c:v>
                </c:pt>
                <c:pt idx="2">
                  <c:v>706</c:v>
                </c:pt>
                <c:pt idx="3">
                  <c:v>646</c:v>
                </c:pt>
                <c:pt idx="4">
                  <c:v>642</c:v>
                </c:pt>
                <c:pt idx="5">
                  <c:v>487</c:v>
                </c:pt>
                <c:pt idx="6">
                  <c:v>432</c:v>
                </c:pt>
                <c:pt idx="7">
                  <c:v>252</c:v>
                </c:pt>
                <c:pt idx="8">
                  <c:v>251</c:v>
                </c:pt>
                <c:pt idx="9">
                  <c:v>217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3786240"/>
        <c:axId val="153789184"/>
      </c:barChart>
      <c:catAx>
        <c:axId val="153786240"/>
        <c:scaling>
          <c:orientation val="minMax"/>
        </c:scaling>
        <c:delete val="0"/>
        <c:axPos val="l"/>
        <c:majorTickMark val="out"/>
        <c:minorTickMark val="none"/>
        <c:tickLblPos val="nextTo"/>
        <c:crossAx val="153789184"/>
        <c:crosses val="autoZero"/>
        <c:auto val="1"/>
        <c:lblAlgn val="ctr"/>
        <c:lblOffset val="100"/>
        <c:noMultiLvlLbl val="0"/>
      </c:catAx>
      <c:valAx>
        <c:axId val="153789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86240"/>
        <c:crosses val="autoZero"/>
        <c:crossBetween val="between"/>
      </c:valAx>
      <c:spPr>
        <a:solidFill>
          <a:schemeClr val="bg2"/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5FBD-DC15-4C9E-8266-1EB2D357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3</cp:revision>
  <cp:lastPrinted>2014-12-10T13:48:00Z</cp:lastPrinted>
  <dcterms:created xsi:type="dcterms:W3CDTF">2015-01-14T09:40:00Z</dcterms:created>
  <dcterms:modified xsi:type="dcterms:W3CDTF">2015-01-17T06:12:00Z</dcterms:modified>
</cp:coreProperties>
</file>